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93"/>
        <w:tblW w:w="10998" w:type="dxa"/>
        <w:tblLook w:val="04A0" w:firstRow="1" w:lastRow="0" w:firstColumn="1" w:lastColumn="0" w:noHBand="0" w:noVBand="1"/>
      </w:tblPr>
      <w:tblGrid>
        <w:gridCol w:w="4845"/>
        <w:gridCol w:w="6153"/>
      </w:tblGrid>
      <w:tr w:rsidR="00871628" w:rsidRPr="002C6C28" w14:paraId="72BA22CB" w14:textId="77777777" w:rsidTr="00871628">
        <w:trPr>
          <w:trHeight w:val="154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18" w:space="0" w:color="C69200"/>
            </w:tcBorders>
            <w:shd w:val="clear" w:color="auto" w:fill="auto"/>
          </w:tcPr>
          <w:p w14:paraId="59D24551" w14:textId="2A6F1D7F" w:rsidR="00871628" w:rsidRPr="005B122A" w:rsidRDefault="00871628" w:rsidP="00871628">
            <w:pPr>
              <w:pStyle w:val="IssueBriefHeading1"/>
            </w:pPr>
            <w:bookmarkStart w:id="0" w:name="_Toc312856288"/>
            <w:r>
              <w:t>Information Technology Policy</w:t>
            </w:r>
          </w:p>
        </w:tc>
      </w:tr>
      <w:tr w:rsidR="00871628" w:rsidRPr="002C6C28" w14:paraId="468B4A4E" w14:textId="77777777" w:rsidTr="00871628">
        <w:trPr>
          <w:trHeight w:val="47"/>
        </w:trPr>
        <w:tc>
          <w:tcPr>
            <w:tcW w:w="10998" w:type="dxa"/>
            <w:gridSpan w:val="2"/>
            <w:tcBorders>
              <w:top w:val="single" w:sz="18" w:space="0" w:color="C69200"/>
              <w:bottom w:val="single" w:sz="2" w:space="0" w:color="auto"/>
            </w:tcBorders>
            <w:shd w:val="clear" w:color="auto" w:fill="auto"/>
          </w:tcPr>
          <w:p w14:paraId="69D5B4F0" w14:textId="03833C15" w:rsidR="00871628" w:rsidRPr="002C6C28" w:rsidRDefault="00871628" w:rsidP="00871628">
            <w:pPr>
              <w:spacing w:after="0" w:line="240" w:lineRule="auto"/>
              <w:jc w:val="center"/>
              <w:rPr>
                <w:rFonts w:ascii="Verdana" w:hAnsi="Verdana"/>
                <w:i/>
                <w:sz w:val="24"/>
              </w:rPr>
            </w:pPr>
            <w:r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>Title</w:t>
            </w:r>
            <w:r w:rsidRPr="002C6C28">
              <w:rPr>
                <w:rFonts w:ascii="Verdana" w:hAnsi="Verdana"/>
                <w:b/>
                <w:i/>
                <w:color w:val="002569"/>
                <w:sz w:val="24"/>
                <w:szCs w:val="36"/>
              </w:rPr>
              <w:t xml:space="preserve"> </w:t>
            </w:r>
          </w:p>
        </w:tc>
      </w:tr>
      <w:tr w:rsidR="00871628" w:rsidRPr="002C6C28" w14:paraId="0A6169EB" w14:textId="77777777" w:rsidTr="00871628">
        <w:trPr>
          <w:trHeight w:val="171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AE7A7C" w14:textId="5CFA8DE9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ITP Number</w:t>
            </w:r>
          </w:p>
          <w:p w14:paraId="089DD352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b w:val="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ITP-</w:t>
            </w:r>
            <w:proofErr w:type="spellStart"/>
            <w:r w:rsidRPr="00403EC1">
              <w:rPr>
                <w:rFonts w:ascii="Verdana" w:hAnsi="Verdana"/>
                <w:b w:val="0"/>
                <w:color w:val="000000"/>
                <w:sz w:val="22"/>
                <w:szCs w:val="22"/>
              </w:rPr>
              <w:t>XXXnnn</w:t>
            </w:r>
            <w:proofErr w:type="spellEnd"/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C0B653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Effective Date</w:t>
            </w:r>
          </w:p>
          <w:p w14:paraId="611F5735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Month Day, Year</w:t>
            </w:r>
          </w:p>
        </w:tc>
      </w:tr>
      <w:tr w:rsidR="00871628" w:rsidRPr="002C6C28" w14:paraId="693078F3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911CB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Category</w:t>
            </w:r>
          </w:p>
          <w:p w14:paraId="009C8625" w14:textId="77777777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b w:val="0"/>
                <w:color w:val="auto"/>
                <w:sz w:val="22"/>
                <w:szCs w:val="22"/>
              </w:rPr>
              <w:t>Domain</w:t>
            </w:r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D2F46A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Supersedes</w:t>
            </w:r>
          </w:p>
          <w:p w14:paraId="2AF7381D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</w:rPr>
            </w:pPr>
            <w:r w:rsidRPr="00403EC1">
              <w:rPr>
                <w:rFonts w:ascii="Verdana" w:hAnsi="Verdana"/>
              </w:rPr>
              <w:t>None</w:t>
            </w:r>
          </w:p>
        </w:tc>
      </w:tr>
      <w:tr w:rsidR="00871628" w:rsidRPr="002C6C28" w14:paraId="4FA4A408" w14:textId="77777777" w:rsidTr="00871628">
        <w:trPr>
          <w:trHeight w:val="167"/>
        </w:trPr>
        <w:tc>
          <w:tcPr>
            <w:tcW w:w="4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9D049E" w14:textId="49A686E4" w:rsidR="00871628" w:rsidRPr="00403EC1" w:rsidRDefault="00871628" w:rsidP="00871628">
            <w:pPr>
              <w:pStyle w:val="Heading1"/>
              <w:spacing w:before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403EC1">
              <w:rPr>
                <w:rFonts w:ascii="Verdana" w:hAnsi="Verdana"/>
                <w:color w:val="000000"/>
                <w:sz w:val="22"/>
                <w:szCs w:val="22"/>
              </w:rPr>
              <w:t>Contact</w:t>
            </w:r>
          </w:p>
          <w:p w14:paraId="39C6E6A2" w14:textId="77777777" w:rsidR="00871628" w:rsidRPr="00DA25D0" w:rsidRDefault="00871606" w:rsidP="00871628">
            <w:pPr>
              <w:spacing w:after="0" w:line="240" w:lineRule="auto"/>
              <w:rPr>
                <w:rFonts w:ascii="Verdana" w:hAnsi="Verdana" w:cs="Calibri"/>
              </w:rPr>
            </w:pPr>
            <w:hyperlink r:id="rId12" w:history="1">
              <w:r w:rsidR="00871628" w:rsidRPr="00DA25D0">
                <w:rPr>
                  <w:rStyle w:val="Hyperlink"/>
                  <w:rFonts w:ascii="Verdana" w:hAnsi="Verdana" w:cs="Calibri"/>
                  <w:u w:val="none"/>
                </w:rPr>
                <w:t>RA-ITCentral@pa.gov</w:t>
              </w:r>
            </w:hyperlink>
          </w:p>
        </w:tc>
        <w:tc>
          <w:tcPr>
            <w:tcW w:w="6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8AA86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/>
                <w:b/>
              </w:rPr>
            </w:pPr>
            <w:r w:rsidRPr="00403EC1">
              <w:rPr>
                <w:rFonts w:ascii="Verdana" w:hAnsi="Verdana"/>
                <w:b/>
              </w:rPr>
              <w:t>Scheduled Review</w:t>
            </w:r>
          </w:p>
          <w:p w14:paraId="486B18D6" w14:textId="77777777" w:rsidR="00871628" w:rsidRPr="00403EC1" w:rsidRDefault="00871628" w:rsidP="00871628">
            <w:pPr>
              <w:spacing w:after="0" w:line="240" w:lineRule="auto"/>
              <w:jc w:val="right"/>
              <w:rPr>
                <w:rFonts w:ascii="Verdana" w:hAnsi="Verdana" w:cs="Calibri"/>
                <w:bCs/>
              </w:rPr>
            </w:pPr>
            <w:r w:rsidRPr="00403EC1">
              <w:rPr>
                <w:rFonts w:ascii="Verdana" w:hAnsi="Verdana" w:cs="Calibri"/>
                <w:bCs/>
              </w:rPr>
              <w:t>Month Year</w:t>
            </w:r>
          </w:p>
        </w:tc>
      </w:tr>
    </w:tbl>
    <w:p w14:paraId="38CC5BDE" w14:textId="4821B485" w:rsidR="00FD0577" w:rsidRDefault="00080CDD" w:rsidP="00FD0577">
      <w:pPr>
        <w:pStyle w:val="Heading1"/>
        <w:spacing w:before="0"/>
        <w:rPr>
          <w:noProof/>
        </w:rPr>
      </w:pPr>
      <w:r>
        <w:rPr>
          <w:b w:val="0"/>
          <w:noProof/>
          <w:sz w:val="18"/>
        </w:rPr>
        <w:drawing>
          <wp:anchor distT="0" distB="0" distL="114300" distR="114300" simplePos="0" relativeHeight="251659264" behindDoc="0" locked="1" layoutInCell="1" allowOverlap="1" wp14:anchorId="098CD27A" wp14:editId="320255E7">
            <wp:simplePos x="0" y="0"/>
            <wp:positionH relativeFrom="margin">
              <wp:posOffset>-228600</wp:posOffset>
            </wp:positionH>
            <wp:positionV relativeFrom="bottomMargin">
              <wp:posOffset>-9408795</wp:posOffset>
            </wp:positionV>
            <wp:extent cx="2038985" cy="438785"/>
            <wp:effectExtent l="0" t="0" r="0" b="0"/>
            <wp:wrapSquare wrapText="bothSides"/>
            <wp:docPr id="4" name="Picture 4" descr="Pennsylvania Office of Administr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nsylvania Office of Administration Logo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8EC60" w14:textId="77777777" w:rsidR="005E14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" w:name="_Toc307821073"/>
      <w:bookmarkStart w:id="2" w:name="_Toc312856290"/>
      <w:bookmarkEnd w:id="0"/>
      <w:r w:rsidRPr="00180512">
        <w:rPr>
          <w:rFonts w:ascii="Verdana" w:eastAsia="Times New Roman" w:hAnsi="Verdana"/>
          <w:b/>
          <w:bCs/>
          <w:sz w:val="24"/>
          <w:szCs w:val="24"/>
        </w:rPr>
        <w:t>Purpose</w:t>
      </w:r>
      <w:bookmarkEnd w:id="1"/>
      <w:bookmarkEnd w:id="2"/>
      <w:r w:rsidR="005E1431" w:rsidRPr="00180512">
        <w:rPr>
          <w:rFonts w:ascii="Verdana" w:eastAsia="Times New Roman" w:hAnsi="Verdana" w:cs="Calibri"/>
          <w:bCs/>
        </w:rPr>
        <w:t xml:space="preserve"> </w:t>
      </w:r>
    </w:p>
    <w:p w14:paraId="6090FF15" w14:textId="35B9EF66" w:rsidR="009B406D" w:rsidRPr="00722E5B" w:rsidRDefault="00FE6993" w:rsidP="009B406D">
      <w:pPr>
        <w:keepNext/>
        <w:keepLines/>
        <w:spacing w:after="0" w:line="240" w:lineRule="auto"/>
        <w:ind w:left="360"/>
        <w:outlineLvl w:val="1"/>
        <w:rPr>
          <w:rFonts w:ascii="Verdana" w:eastAsia="Times New Roman" w:hAnsi="Verdana"/>
          <w:bCs/>
          <w:szCs w:val="24"/>
        </w:rPr>
      </w:pPr>
      <w:r>
        <w:rPr>
          <w:rFonts w:ascii="Verdana" w:eastAsia="Times New Roman" w:hAnsi="Verdana"/>
          <w:bCs/>
          <w:szCs w:val="24"/>
        </w:rPr>
        <w:t>This Information Technology Policy (ITP) establishes</w:t>
      </w:r>
    </w:p>
    <w:p w14:paraId="3596AB29" w14:textId="77777777" w:rsidR="00826181" w:rsidRPr="00826181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Scope</w:t>
      </w:r>
    </w:p>
    <w:p w14:paraId="70311843" w14:textId="631EBC4F" w:rsidR="005E1431" w:rsidRPr="00B922E5" w:rsidRDefault="00617FAA" w:rsidP="00B922E5">
      <w:pPr>
        <w:spacing w:after="120" w:line="240" w:lineRule="auto"/>
        <w:ind w:left="360"/>
        <w:rPr>
          <w:rFonts w:ascii="Verdana" w:eastAsia="Times New Roman" w:hAnsi="Verdana" w:cs="Calibri"/>
          <w:bCs/>
        </w:rPr>
      </w:pPr>
      <w:r w:rsidRPr="00B922E5">
        <w:rPr>
          <w:rFonts w:ascii="Verdana" w:hAnsi="Verdana"/>
        </w:rPr>
        <w:fldChar w:fldCharType="begin"/>
      </w:r>
      <w:r w:rsidRPr="00B922E5">
        <w:rPr>
          <w:rFonts w:ascii="Verdana" w:hAnsi="Verdana"/>
        </w:rPr>
        <w:instrText xml:space="preserve"> DOCPROPERTY  Scope  \* MERGEFORMAT </w:instrText>
      </w:r>
      <w:r w:rsidRPr="00B922E5">
        <w:rPr>
          <w:rFonts w:ascii="Verdana" w:hAnsi="Verdana"/>
        </w:rPr>
        <w:fldChar w:fldCharType="separate"/>
      </w:r>
      <w:r w:rsidR="001A5798" w:rsidRPr="001A5798">
        <w:t xml:space="preserve"> </w:t>
      </w:r>
      <w:r w:rsidR="001A5798" w:rsidRPr="001A5798">
        <w:rPr>
          <w:rFonts w:ascii="Verdana" w:eastAsia="Times New Roman" w:hAnsi="Verdana" w:cs="Calibri"/>
          <w:bCs/>
        </w:rPr>
        <w:t>This ITP applies to all offices, departments, boards, commissions</w:t>
      </w:r>
      <w:r w:rsidR="00560156">
        <w:rPr>
          <w:rFonts w:ascii="Verdana" w:eastAsia="Times New Roman" w:hAnsi="Verdana" w:cs="Calibri"/>
          <w:bCs/>
        </w:rPr>
        <w:t>,</w:t>
      </w:r>
      <w:r w:rsidR="001A5798" w:rsidRPr="001A5798">
        <w:rPr>
          <w:rFonts w:ascii="Verdana" w:eastAsia="Times New Roman" w:hAnsi="Verdana" w:cs="Calibri"/>
          <w:bCs/>
        </w:rPr>
        <w:t xml:space="preserve"> and councils under the Governor’s jurisdiction (</w:t>
      </w:r>
      <w:r w:rsidR="00FE6993">
        <w:rPr>
          <w:rFonts w:ascii="Verdana" w:eastAsia="Times New Roman" w:hAnsi="Verdana" w:cs="Calibri"/>
          <w:bCs/>
        </w:rPr>
        <w:t xml:space="preserve">hereinafter referred to as </w:t>
      </w:r>
      <w:r w:rsidR="001A5798" w:rsidRPr="001A5798">
        <w:rPr>
          <w:rFonts w:ascii="Verdana" w:eastAsia="Times New Roman" w:hAnsi="Verdana" w:cs="Calibri"/>
          <w:bCs/>
        </w:rPr>
        <w:t>"agencies"). Agencies not under the Governor’s jurisdiction are strongly encouraged to follow this ITP.</w:t>
      </w:r>
      <w:r w:rsidRPr="00B922E5">
        <w:rPr>
          <w:rFonts w:ascii="Verdana" w:eastAsia="Times New Roman" w:hAnsi="Verdana" w:cs="Calibri"/>
          <w:bCs/>
        </w:rPr>
        <w:fldChar w:fldCharType="end"/>
      </w:r>
    </w:p>
    <w:p w14:paraId="267CB069" w14:textId="106A4254" w:rsidR="005E1431" w:rsidRPr="00180512" w:rsidRDefault="005E14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Background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</w:rPr>
        <w:t>(</w:t>
      </w:r>
      <w:r w:rsidR="00310FDE" w:rsidRPr="00310FDE">
        <w:rPr>
          <w:rFonts w:ascii="Verdana" w:eastAsia="Times New Roman" w:hAnsi="Verdana"/>
          <w:b/>
          <w:bCs/>
          <w:i/>
        </w:rPr>
        <w:t>optional</w:t>
      </w:r>
      <w:r w:rsidR="00310FDE" w:rsidRPr="00310FDE">
        <w:rPr>
          <w:rFonts w:ascii="Verdana" w:eastAsia="Times New Roman" w:hAnsi="Verdana"/>
          <w:b/>
          <w:bCs/>
        </w:rPr>
        <w:t>)</w:t>
      </w:r>
    </w:p>
    <w:p w14:paraId="18887F8B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</w:p>
    <w:p w14:paraId="4791B157" w14:textId="066D10B1" w:rsidR="00122931" w:rsidRPr="00180512" w:rsidRDefault="0012293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3" w:name="_Toc307821075"/>
      <w:bookmarkStart w:id="4" w:name="_Toc312856293"/>
      <w:r w:rsidRPr="00180512">
        <w:rPr>
          <w:rFonts w:ascii="Verdana" w:eastAsia="Times New Roman" w:hAnsi="Verdana"/>
          <w:b/>
          <w:bCs/>
          <w:sz w:val="24"/>
          <w:szCs w:val="24"/>
        </w:rPr>
        <w:t>Definitions</w:t>
      </w:r>
      <w:bookmarkEnd w:id="3"/>
      <w:bookmarkEnd w:id="4"/>
      <w:r w:rsidR="00041A6A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041A6A" w:rsidRPr="00041A6A">
        <w:rPr>
          <w:rFonts w:ascii="Verdana" w:eastAsia="Times New Roman" w:hAnsi="Verdana"/>
          <w:b/>
          <w:bCs/>
          <w:szCs w:val="24"/>
        </w:rPr>
        <w:t>(</w:t>
      </w:r>
      <w:r w:rsidR="00041A6A">
        <w:rPr>
          <w:rFonts w:ascii="Verdana" w:eastAsia="Times New Roman" w:hAnsi="Verdana"/>
          <w:b/>
          <w:bCs/>
          <w:i/>
          <w:szCs w:val="24"/>
        </w:rPr>
        <w:t>to</w:t>
      </w:r>
      <w:r w:rsidR="00041A6A" w:rsidRPr="00041A6A">
        <w:rPr>
          <w:rFonts w:ascii="Verdana" w:eastAsia="Times New Roman" w:hAnsi="Verdana"/>
          <w:b/>
          <w:bCs/>
          <w:i/>
          <w:szCs w:val="24"/>
        </w:rPr>
        <w:t xml:space="preserve"> be published to online Policy Glossary</w:t>
      </w:r>
      <w:r w:rsidR="00041A6A" w:rsidRPr="00041A6A">
        <w:rPr>
          <w:rFonts w:ascii="Verdana" w:eastAsia="Times New Roman" w:hAnsi="Verdana"/>
          <w:b/>
          <w:bCs/>
          <w:szCs w:val="24"/>
        </w:rPr>
        <w:t>)</w:t>
      </w:r>
    </w:p>
    <w:p w14:paraId="3B4D392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1</w:t>
      </w:r>
      <w:r w:rsidR="00122931" w:rsidRPr="00872CFF">
        <w:rPr>
          <w:rFonts w:ascii="Verdana" w:eastAsia="Times New Roman" w:hAnsi="Verdana"/>
          <w:b/>
          <w:bCs/>
          <w:color w:val="000000"/>
          <w:szCs w:val="24"/>
        </w:rPr>
        <w:t xml:space="preserve"> </w:t>
      </w:r>
    </w:p>
    <w:p w14:paraId="1C95C816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2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bookmarkStart w:id="5" w:name="_Toc307821077"/>
      <w:bookmarkStart w:id="6" w:name="_Toc312856295"/>
    </w:p>
    <w:bookmarkEnd w:id="5"/>
    <w:bookmarkEnd w:id="6"/>
    <w:p w14:paraId="3929BBB3" w14:textId="77777777" w:rsidR="00122931" w:rsidRPr="00872CFF" w:rsidRDefault="009B406D" w:rsidP="003504DF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Definition 2</w:t>
      </w:r>
    </w:p>
    <w:p w14:paraId="1112955A" w14:textId="77777777" w:rsidR="009B406D" w:rsidRPr="009B406D" w:rsidRDefault="009B406D" w:rsidP="009B406D">
      <w:pPr>
        <w:keepNext/>
        <w:keepLines/>
        <w:spacing w:after="0" w:line="240" w:lineRule="auto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10F85093" w14:textId="150AE30A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Objective</w:t>
      </w:r>
      <w:r w:rsidR="00310FDE">
        <w:rPr>
          <w:rFonts w:ascii="Verdana" w:eastAsia="Times New Roman" w:hAnsi="Verdana"/>
          <w:b/>
          <w:bCs/>
          <w:sz w:val="24"/>
          <w:szCs w:val="24"/>
        </w:rPr>
        <w:t xml:space="preserve"> </w:t>
      </w:r>
      <w:r w:rsidR="00310FDE" w:rsidRPr="00310FDE">
        <w:rPr>
          <w:rFonts w:ascii="Verdana" w:eastAsia="Times New Roman" w:hAnsi="Verdana"/>
          <w:b/>
          <w:bCs/>
          <w:i/>
          <w:szCs w:val="24"/>
        </w:rPr>
        <w:t>(optional)</w:t>
      </w:r>
    </w:p>
    <w:p w14:paraId="2137D7B1" w14:textId="77777777" w:rsidR="00122931" w:rsidRPr="00180512" w:rsidRDefault="00122931" w:rsidP="00B922E5">
      <w:pPr>
        <w:spacing w:after="60" w:line="240" w:lineRule="auto"/>
        <w:ind w:left="360"/>
        <w:rPr>
          <w:rFonts w:ascii="Verdana" w:hAnsi="Verdana" w:cs="Calibri"/>
          <w:color w:val="000000"/>
        </w:rPr>
      </w:pPr>
    </w:p>
    <w:p w14:paraId="765A754B" w14:textId="77777777" w:rsidR="00122931" w:rsidRPr="00180512" w:rsidRDefault="00100901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7" w:name="_Toc312856304"/>
      <w:bookmarkStart w:id="8" w:name="_Toc312856305"/>
      <w:bookmarkStart w:id="9" w:name="_Toc312856306"/>
      <w:bookmarkStart w:id="10" w:name="_Toc312856307"/>
      <w:bookmarkEnd w:id="7"/>
      <w:bookmarkEnd w:id="8"/>
      <w:bookmarkEnd w:id="9"/>
      <w:bookmarkEnd w:id="10"/>
      <w:r w:rsidRPr="00180512">
        <w:rPr>
          <w:rFonts w:ascii="Verdana" w:eastAsia="Times New Roman" w:hAnsi="Verdana"/>
          <w:b/>
          <w:bCs/>
          <w:sz w:val="24"/>
          <w:szCs w:val="24"/>
        </w:rPr>
        <w:t>Policy</w:t>
      </w:r>
    </w:p>
    <w:p w14:paraId="0752AFD7" w14:textId="77777777" w:rsidR="00122931" w:rsidRPr="00180512" w:rsidRDefault="00122931" w:rsidP="00B922E5">
      <w:pPr>
        <w:spacing w:after="100" w:afterAutospacing="1" w:line="240" w:lineRule="auto"/>
        <w:ind w:left="360"/>
        <w:rPr>
          <w:rFonts w:ascii="Verdana" w:eastAsia="Times New Roman" w:hAnsi="Verdana" w:cs="Calibri"/>
          <w:bCs/>
        </w:rPr>
      </w:pPr>
      <w:r w:rsidRPr="00180512">
        <w:rPr>
          <w:rFonts w:ascii="Verdana" w:eastAsia="Times New Roman" w:hAnsi="Verdana" w:cs="Calibri"/>
          <w:bCs/>
        </w:rPr>
        <w:t xml:space="preserve">  </w:t>
      </w:r>
    </w:p>
    <w:p w14:paraId="0A308CAC" w14:textId="77777777" w:rsidR="00C4747E" w:rsidRPr="00180512" w:rsidRDefault="00C4747E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bookmarkStart w:id="11" w:name="_Toc312856317"/>
      <w:bookmarkEnd w:id="11"/>
      <w:r w:rsidRPr="00180512">
        <w:rPr>
          <w:rFonts w:ascii="Verdana" w:eastAsia="Times New Roman" w:hAnsi="Verdana"/>
          <w:b/>
          <w:bCs/>
          <w:sz w:val="24"/>
          <w:szCs w:val="24"/>
        </w:rPr>
        <w:t>Responsibilities</w:t>
      </w:r>
    </w:p>
    <w:p w14:paraId="0391537E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1</w:t>
      </w:r>
    </w:p>
    <w:p w14:paraId="793CB44E" w14:textId="77777777" w:rsidR="009B406D" w:rsidRPr="00180512" w:rsidRDefault="009B406D" w:rsidP="00B922E5">
      <w:pPr>
        <w:spacing w:after="100" w:afterAutospacing="1" w:line="240" w:lineRule="auto"/>
        <w:ind w:left="1080"/>
        <w:rPr>
          <w:rFonts w:ascii="Verdana" w:hAnsi="Verdana" w:cs="Calibri"/>
        </w:rPr>
      </w:pPr>
    </w:p>
    <w:p w14:paraId="28DE02A2" w14:textId="77777777" w:rsidR="00C4747E" w:rsidRPr="00872CFF" w:rsidRDefault="009B406D" w:rsidP="00B922E5">
      <w:pPr>
        <w:keepNext/>
        <w:keepLines/>
        <w:numPr>
          <w:ilvl w:val="1"/>
          <w:numId w:val="2"/>
        </w:numPr>
        <w:spacing w:before="200" w:after="0" w:line="240" w:lineRule="auto"/>
        <w:outlineLvl w:val="2"/>
        <w:rPr>
          <w:rFonts w:ascii="Verdana" w:eastAsia="Times New Roman" w:hAnsi="Verdana"/>
          <w:b/>
          <w:bCs/>
          <w:color w:val="000000"/>
          <w:szCs w:val="24"/>
        </w:rPr>
      </w:pPr>
      <w:r w:rsidRPr="00872CFF">
        <w:rPr>
          <w:rFonts w:ascii="Verdana" w:eastAsia="Times New Roman" w:hAnsi="Verdana"/>
          <w:b/>
          <w:bCs/>
          <w:color w:val="000000"/>
          <w:szCs w:val="24"/>
        </w:rPr>
        <w:t>Responsible Party 2</w:t>
      </w:r>
    </w:p>
    <w:p w14:paraId="6817C2B6" w14:textId="77777777" w:rsidR="00C4747E" w:rsidRPr="00180512" w:rsidRDefault="00C4747E" w:rsidP="009B406D">
      <w:pPr>
        <w:spacing w:after="60" w:line="240" w:lineRule="auto"/>
        <w:ind w:left="1440"/>
        <w:jc w:val="both"/>
        <w:rPr>
          <w:rFonts w:ascii="Verdana" w:hAnsi="Verdana" w:cs="Calibri"/>
        </w:rPr>
      </w:pPr>
    </w:p>
    <w:p w14:paraId="7295B35B" w14:textId="1A3B5610" w:rsidR="006656B9" w:rsidRPr="00F05877" w:rsidRDefault="00751692" w:rsidP="00751692">
      <w:pPr>
        <w:keepNext/>
        <w:keepLines/>
        <w:numPr>
          <w:ilvl w:val="0"/>
          <w:numId w:val="2"/>
        </w:numPr>
        <w:spacing w:before="200" w:after="0" w:line="240" w:lineRule="auto"/>
        <w:outlineLvl w:val="1"/>
        <w:rPr>
          <w:rStyle w:val="Hyperlink"/>
          <w:rFonts w:ascii="Verdana" w:eastAsia="Times New Roman" w:hAnsi="Verdana"/>
          <w:b/>
          <w:bCs/>
          <w:color w:val="auto"/>
          <w:sz w:val="24"/>
          <w:szCs w:val="24"/>
          <w:u w:val="none"/>
        </w:rPr>
      </w:pPr>
      <w:r>
        <w:rPr>
          <w:rFonts w:ascii="Verdana" w:eastAsia="Times New Roman" w:hAnsi="Verdana"/>
          <w:b/>
          <w:bCs/>
          <w:sz w:val="24"/>
          <w:szCs w:val="24"/>
        </w:rPr>
        <w:lastRenderedPageBreak/>
        <w:tab/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Related IT</w:t>
      </w:r>
      <w:r w:rsidR="00826181">
        <w:rPr>
          <w:rFonts w:ascii="Verdana" w:eastAsia="Times New Roman" w:hAnsi="Verdana"/>
          <w:b/>
          <w:bCs/>
          <w:sz w:val="24"/>
          <w:szCs w:val="24"/>
        </w:rPr>
        <w:t>P</w:t>
      </w:r>
      <w:r w:rsidR="006656B9" w:rsidRPr="00180512">
        <w:rPr>
          <w:rFonts w:ascii="Verdana" w:eastAsia="Times New Roman" w:hAnsi="Verdana"/>
          <w:b/>
          <w:bCs/>
          <w:sz w:val="24"/>
          <w:szCs w:val="24"/>
        </w:rPr>
        <w:t>s/Other References</w:t>
      </w:r>
      <w:r w:rsidR="009B7A4C">
        <w:rPr>
          <w:rFonts w:ascii="Verdana" w:eastAsia="Times New Roman" w:hAnsi="Verdana"/>
          <w:b/>
          <w:bCs/>
          <w:sz w:val="24"/>
          <w:szCs w:val="24"/>
        </w:rPr>
        <w:br/>
      </w:r>
      <w:r w:rsidR="00F6183D" w:rsidRPr="00DE4DAD">
        <w:rPr>
          <w:rFonts w:ascii="Verdana" w:hAnsi="Verdana"/>
          <w:bCs/>
        </w:rPr>
        <w:t xml:space="preserve">Definitions of associated terms of this policy are published on the Office of Administration’s public portal: </w:t>
      </w:r>
      <w:hyperlink r:id="rId14" w:history="1">
        <w:r w:rsidR="00F6183D" w:rsidRPr="00DE4DAD">
          <w:rPr>
            <w:rStyle w:val="Hyperlink"/>
            <w:rFonts w:ascii="Verdana" w:hAnsi="Verdana"/>
          </w:rPr>
          <w:t>http://www.oa.pa.gov/Policies/Pages/Glossary.aspx</w:t>
        </w:r>
      </w:hyperlink>
      <w:r w:rsidR="00F6183D">
        <w:rPr>
          <w:rStyle w:val="Hyperlink"/>
          <w:rFonts w:ascii="Verdana" w:hAnsi="Verdana"/>
        </w:rPr>
        <w:br/>
      </w:r>
      <w:r w:rsidR="00F6183D">
        <w:rPr>
          <w:rFonts w:ascii="Verdana" w:hAnsi="Verdana"/>
          <w:bCs/>
          <w:szCs w:val="24"/>
        </w:rPr>
        <w:br/>
      </w:r>
      <w:r w:rsidR="009B7A4C" w:rsidRPr="00751692">
        <w:rPr>
          <w:rFonts w:ascii="Verdana" w:hAnsi="Verdana"/>
          <w:bCs/>
          <w:szCs w:val="24"/>
        </w:rPr>
        <w:t>Commonwealth policies, including Executive Orders, Management Directives, and IT Policies are published on the Office of Administration’s public portal:</w:t>
      </w:r>
      <w:r w:rsidR="009B7A4C" w:rsidRPr="00751692">
        <w:rPr>
          <w:rFonts w:ascii="Verdana" w:hAnsi="Verdana"/>
        </w:rPr>
        <w:t xml:space="preserve"> </w:t>
      </w:r>
      <w:hyperlink r:id="rId15" w:history="1">
        <w:r w:rsidR="009B7A4C" w:rsidRPr="00751692">
          <w:rPr>
            <w:rStyle w:val="Hyperlink"/>
            <w:rFonts w:ascii="Verdana" w:hAnsi="Verdana"/>
            <w:bCs/>
            <w:szCs w:val="24"/>
          </w:rPr>
          <w:t>http://www.oa.pa.gov/Policies/Pages/default.aspx</w:t>
        </w:r>
      </w:hyperlink>
    </w:p>
    <w:p w14:paraId="74BE7134" w14:textId="0543C999" w:rsidR="00F05877" w:rsidRPr="002E4AA7" w:rsidRDefault="00F0587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3B417B">
        <w:rPr>
          <w:rFonts w:ascii="Verdana" w:hAnsi="Verdana"/>
        </w:rPr>
        <w:t xml:space="preserve">Management Directive 205.34 </w:t>
      </w:r>
      <w:r w:rsidR="00FE6993">
        <w:rPr>
          <w:rFonts w:ascii="Verdana" w:hAnsi="Verdana"/>
        </w:rPr>
        <w:t xml:space="preserve">Amended </w:t>
      </w:r>
      <w:r w:rsidRPr="003B417B">
        <w:rPr>
          <w:rFonts w:ascii="Verdana" w:hAnsi="Verdana"/>
          <w:i/>
        </w:rPr>
        <w:t>Commonwealth of Pennsylvania Information Technology Acceptable Use Policy</w:t>
      </w:r>
    </w:p>
    <w:p w14:paraId="4BFA85FA" w14:textId="77777777" w:rsidR="002E4AA7" w:rsidRPr="002E4AA7" w:rsidRDefault="002E4AA7" w:rsidP="002E4AA7">
      <w:pPr>
        <w:pStyle w:val="ListParagraph"/>
        <w:keepNext/>
        <w:keepLines/>
        <w:numPr>
          <w:ilvl w:val="0"/>
          <w:numId w:val="11"/>
        </w:numPr>
        <w:spacing w:before="200"/>
        <w:ind w:left="1080"/>
        <w:outlineLvl w:val="1"/>
        <w:rPr>
          <w:rFonts w:ascii="Verdana" w:eastAsia="Times New Roman" w:hAnsi="Verdana"/>
          <w:b/>
          <w:bCs/>
          <w:sz w:val="24"/>
          <w:szCs w:val="24"/>
        </w:rPr>
      </w:pPr>
    </w:p>
    <w:p w14:paraId="740E91D5" w14:textId="77777777" w:rsidR="00826181" w:rsidRPr="005B3EBA" w:rsidRDefault="00826181" w:rsidP="00826181">
      <w:pPr>
        <w:spacing w:after="60" w:line="240" w:lineRule="auto"/>
        <w:rPr>
          <w:rFonts w:ascii="Verdana" w:hAnsi="Verdana"/>
        </w:rPr>
      </w:pPr>
    </w:p>
    <w:p w14:paraId="6DFD883F" w14:textId="77777777" w:rsidR="00FB72D3" w:rsidRPr="00180512" w:rsidRDefault="00FB72D3" w:rsidP="00382F6A">
      <w:pPr>
        <w:keepNext/>
        <w:keepLines/>
        <w:numPr>
          <w:ilvl w:val="0"/>
          <w:numId w:val="2"/>
        </w:numPr>
        <w:spacing w:before="200" w:after="0" w:line="240" w:lineRule="auto"/>
        <w:ind w:left="720" w:hanging="720"/>
        <w:outlineLvl w:val="1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Authority</w:t>
      </w:r>
    </w:p>
    <w:p w14:paraId="3260BA12" w14:textId="238988AA" w:rsidR="006516FE" w:rsidRPr="00346127" w:rsidRDefault="00EB5317" w:rsidP="006516FE">
      <w:pPr>
        <w:spacing w:after="60" w:line="240" w:lineRule="auto"/>
        <w:ind w:left="720" w:hanging="360"/>
        <w:rPr>
          <w:rFonts w:ascii="Verdana" w:hAnsi="Verdana" w:cs="Calibri"/>
        </w:rPr>
      </w:pPr>
      <w:bookmarkStart w:id="12" w:name="_Toc307918265"/>
      <w:bookmarkStart w:id="13" w:name="_Toc312856286"/>
      <w:r w:rsidRPr="009B7A4C">
        <w:rPr>
          <w:rFonts w:ascii="Verdana" w:hAnsi="Verdana" w:cs="Calibri"/>
        </w:rPr>
        <w:t>Executive Order 2016-06</w:t>
      </w:r>
      <w:r w:rsidR="00F26125" w:rsidRPr="00180512">
        <w:rPr>
          <w:rFonts w:ascii="Verdana" w:hAnsi="Verdana" w:cs="Calibri"/>
        </w:rPr>
        <w:t xml:space="preserve"> </w:t>
      </w:r>
      <w:r w:rsidR="00FB72D3" w:rsidRPr="00416B7C">
        <w:rPr>
          <w:rFonts w:ascii="Verdana" w:hAnsi="Verdana" w:cs="Calibri"/>
          <w:i/>
        </w:rPr>
        <w:t>Enterprise In</w:t>
      </w:r>
      <w:r w:rsidR="0048184B" w:rsidRPr="00416B7C">
        <w:rPr>
          <w:rFonts w:ascii="Verdana" w:hAnsi="Verdana" w:cs="Calibri"/>
          <w:i/>
        </w:rPr>
        <w:t>formation Technology Governance</w:t>
      </w:r>
    </w:p>
    <w:p w14:paraId="43CF0EA5" w14:textId="77777777" w:rsidR="00826181" w:rsidRDefault="00826181" w:rsidP="00826181">
      <w:pPr>
        <w:spacing w:after="60" w:line="240" w:lineRule="auto"/>
        <w:ind w:left="720"/>
        <w:rPr>
          <w:rFonts w:ascii="Verdana" w:hAnsi="Verdana" w:cs="Calibri"/>
        </w:rPr>
      </w:pPr>
    </w:p>
    <w:p w14:paraId="167D26FF" w14:textId="77777777" w:rsidR="00122931" w:rsidRDefault="00122931" w:rsidP="00826181">
      <w:pPr>
        <w:numPr>
          <w:ilvl w:val="0"/>
          <w:numId w:val="2"/>
        </w:numPr>
        <w:spacing w:after="60" w:line="240" w:lineRule="auto"/>
        <w:rPr>
          <w:rFonts w:ascii="Verdana" w:eastAsia="Times New Roman" w:hAnsi="Verdana"/>
          <w:b/>
          <w:bCs/>
          <w:sz w:val="24"/>
          <w:szCs w:val="24"/>
        </w:rPr>
      </w:pPr>
      <w:r w:rsidRPr="00180512">
        <w:rPr>
          <w:rFonts w:ascii="Verdana" w:eastAsia="Times New Roman" w:hAnsi="Verdana"/>
          <w:b/>
          <w:bCs/>
          <w:sz w:val="24"/>
          <w:szCs w:val="24"/>
        </w:rPr>
        <w:t>Publication Version Control</w:t>
      </w:r>
      <w:bookmarkEnd w:id="12"/>
      <w:bookmarkEnd w:id="13"/>
    </w:p>
    <w:p w14:paraId="192BC358" w14:textId="678F0ABA" w:rsidR="00EB5317" w:rsidRPr="00403EC1" w:rsidRDefault="00EB5317" w:rsidP="00EB5317">
      <w:pPr>
        <w:pStyle w:val="ListParagraph"/>
        <w:ind w:left="360"/>
        <w:rPr>
          <w:rFonts w:ascii="Verdana" w:hAnsi="Verdana" w:cs="Calibri"/>
        </w:rPr>
      </w:pPr>
      <w:r w:rsidRPr="00403EC1">
        <w:rPr>
          <w:rFonts w:ascii="Verdana" w:hAnsi="Verdana" w:cs="Calibri"/>
        </w:rPr>
        <w:t xml:space="preserve">It is the </w:t>
      </w:r>
      <w:hyperlink r:id="rId16" w:history="1">
        <w:r w:rsidR="00FE6993" w:rsidRPr="00FE6993">
          <w:rPr>
            <w:rStyle w:val="Hyperlink"/>
            <w:rFonts w:ascii="Verdana" w:hAnsi="Verdana" w:cs="Calibri"/>
          </w:rPr>
          <w:t>Authorized U</w:t>
        </w:r>
        <w:r w:rsidRPr="00FE6993">
          <w:rPr>
            <w:rStyle w:val="Hyperlink"/>
            <w:rFonts w:ascii="Verdana" w:hAnsi="Verdana" w:cs="Calibri"/>
          </w:rPr>
          <w:t>ser</w:t>
        </w:r>
      </w:hyperlink>
      <w:r w:rsidRPr="00403EC1">
        <w:rPr>
          <w:rFonts w:ascii="Verdana" w:hAnsi="Verdana" w:cs="Calibri"/>
        </w:rPr>
        <w:t xml:space="preserve">’s responsibility to ensure they have the latest version of this publication, which appears on </w:t>
      </w:r>
      <w:hyperlink r:id="rId17" w:history="1">
        <w:r w:rsidRPr="00403EC1">
          <w:rPr>
            <w:rStyle w:val="Hyperlink"/>
            <w:rFonts w:ascii="Verdana" w:hAnsi="Verdana" w:cs="Calibri"/>
          </w:rPr>
          <w:t>https://itcentral.pa.gov</w:t>
        </w:r>
      </w:hyperlink>
      <w:r w:rsidRPr="00403EC1">
        <w:rPr>
          <w:rFonts w:ascii="Verdana" w:hAnsi="Verdana" w:cs="Calibri"/>
        </w:rPr>
        <w:t xml:space="preserve"> for Commonwealth personnel and on the Office of Administration public portal: </w:t>
      </w:r>
      <w:hyperlink r:id="rId18" w:history="1">
        <w:r w:rsidRPr="00403EC1">
          <w:rPr>
            <w:rStyle w:val="Hyperlink"/>
            <w:rFonts w:ascii="Verdana" w:hAnsi="Verdana" w:cs="Calibri"/>
          </w:rPr>
          <w:t>http://www.oa.pa.gov/Policies/Pages/default.aspx</w:t>
        </w:r>
      </w:hyperlink>
      <w:r w:rsidRPr="00403EC1">
        <w:rPr>
          <w:rFonts w:ascii="Verdana" w:hAnsi="Verdana" w:cs="Calibri"/>
        </w:rPr>
        <w:t xml:space="preserve">. Questions regarding this publication are to be directed to </w:t>
      </w:r>
      <w:hyperlink r:id="rId19" w:history="1">
        <w:r w:rsidRPr="00403EC1">
          <w:rPr>
            <w:rStyle w:val="Hyperlink"/>
            <w:rFonts w:ascii="Verdana" w:hAnsi="Verdana" w:cs="Calibri"/>
          </w:rPr>
          <w:t>RA-ITCentral@pa.gov</w:t>
        </w:r>
      </w:hyperlink>
      <w:r w:rsidRPr="00403EC1">
        <w:rPr>
          <w:rFonts w:ascii="Verdana" w:hAnsi="Verdana" w:cs="Calibri"/>
        </w:rPr>
        <w:t>.</w:t>
      </w:r>
    </w:p>
    <w:p w14:paraId="50FA14E9" w14:textId="77777777" w:rsidR="00EB5317" w:rsidRPr="00EB5317" w:rsidRDefault="00EB5317" w:rsidP="00EB5317">
      <w:pPr>
        <w:pStyle w:val="ListParagraph"/>
        <w:ind w:left="360"/>
        <w:rPr>
          <w:rFonts w:ascii="Verdana" w:hAnsi="Verdana" w:cs="Calibri"/>
        </w:rPr>
      </w:pPr>
    </w:p>
    <w:p w14:paraId="76575745" w14:textId="77777777" w:rsidR="00894174" w:rsidRPr="00A5583A" w:rsidRDefault="00894174" w:rsidP="00894174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Verdana" w:hAnsi="Verdana"/>
          <w:sz w:val="24"/>
        </w:rPr>
      </w:pPr>
      <w:r w:rsidRPr="00A5583A">
        <w:rPr>
          <w:rFonts w:ascii="Verdana" w:hAnsi="Verdana"/>
          <w:sz w:val="24"/>
        </w:rPr>
        <w:t xml:space="preserve"> </w:t>
      </w:r>
      <w:r w:rsidRPr="00A5583A">
        <w:rPr>
          <w:rFonts w:ascii="Verdana" w:hAnsi="Verdana"/>
          <w:b/>
          <w:sz w:val="24"/>
        </w:rPr>
        <w:t>Exemption from This Policy</w:t>
      </w:r>
    </w:p>
    <w:p w14:paraId="0FBBD859" w14:textId="662544C2" w:rsidR="00894174" w:rsidRPr="00403EC1" w:rsidRDefault="00AC62C9" w:rsidP="00B922E5">
      <w:pPr>
        <w:pStyle w:val="ListParagraph"/>
        <w:tabs>
          <w:tab w:val="left" w:pos="720"/>
        </w:tabs>
        <w:ind w:left="360"/>
        <w:rPr>
          <w:rFonts w:ascii="Verdana" w:hAnsi="Verdana"/>
        </w:rPr>
      </w:pPr>
      <w:r w:rsidRPr="00403EC1">
        <w:rPr>
          <w:rFonts w:ascii="Verdana" w:hAnsi="Verdana"/>
        </w:rPr>
        <w:t>In the event an agency chooses to seek an exemption</w:t>
      </w:r>
      <w:r>
        <w:rPr>
          <w:rFonts w:ascii="Verdana" w:hAnsi="Verdana"/>
        </w:rPr>
        <w:t xml:space="preserve"> from the guidance within this IT</w:t>
      </w:r>
      <w:r w:rsidR="00FE6993">
        <w:rPr>
          <w:rFonts w:ascii="Verdana" w:hAnsi="Verdana"/>
        </w:rPr>
        <w:t>P</w:t>
      </w:r>
      <w:r w:rsidRPr="00403EC1">
        <w:rPr>
          <w:rFonts w:ascii="Verdana" w:hAnsi="Verdana"/>
        </w:rPr>
        <w:t xml:space="preserve">, a request for </w:t>
      </w:r>
      <w:r>
        <w:rPr>
          <w:rFonts w:ascii="Verdana" w:hAnsi="Verdana"/>
        </w:rPr>
        <w:t xml:space="preserve">a policy </w:t>
      </w:r>
      <w:r w:rsidRPr="00403EC1">
        <w:rPr>
          <w:rFonts w:ascii="Verdana" w:hAnsi="Verdana"/>
        </w:rPr>
        <w:t xml:space="preserve">waiver </w:t>
      </w:r>
      <w:r>
        <w:rPr>
          <w:rFonts w:ascii="Verdana" w:hAnsi="Verdana"/>
        </w:rPr>
        <w:t>is to</w:t>
      </w:r>
      <w:r w:rsidRPr="00403EC1">
        <w:rPr>
          <w:rFonts w:ascii="Verdana" w:hAnsi="Verdana"/>
        </w:rPr>
        <w:t xml:space="preserve"> be submitted via the </w:t>
      </w:r>
      <w:r>
        <w:rPr>
          <w:rFonts w:ascii="Verdana" w:hAnsi="Verdana"/>
        </w:rPr>
        <w:t>enterprise IT policy waiver</w:t>
      </w:r>
      <w:r w:rsidRPr="00403EC1">
        <w:rPr>
          <w:rFonts w:ascii="Verdana" w:hAnsi="Verdana"/>
        </w:rPr>
        <w:t xml:space="preserve"> process. </w:t>
      </w:r>
      <w:r>
        <w:rPr>
          <w:rFonts w:ascii="Verdana" w:hAnsi="Verdana"/>
        </w:rPr>
        <w:t xml:space="preserve">Refer to </w:t>
      </w:r>
      <w:hyperlink r:id="rId20" w:history="1">
        <w:r w:rsidRPr="00A7660E">
          <w:rPr>
            <w:rStyle w:val="Hyperlink"/>
            <w:rFonts w:ascii="Verdana" w:hAnsi="Verdana"/>
          </w:rPr>
          <w:t xml:space="preserve">ITP-BUS004 </w:t>
        </w:r>
        <w:r w:rsidRPr="00A7660E">
          <w:rPr>
            <w:rStyle w:val="Hyperlink"/>
            <w:rFonts w:ascii="Verdana" w:hAnsi="Verdana"/>
            <w:i/>
          </w:rPr>
          <w:t>IT</w:t>
        </w:r>
        <w:r w:rsidR="00C44C58">
          <w:rPr>
            <w:rStyle w:val="Hyperlink"/>
            <w:rFonts w:ascii="Verdana" w:hAnsi="Verdana"/>
            <w:i/>
          </w:rPr>
          <w:t xml:space="preserve"> Policy</w:t>
        </w:r>
        <w:r w:rsidRPr="00A7660E">
          <w:rPr>
            <w:rStyle w:val="Hyperlink"/>
            <w:rFonts w:ascii="Verdana" w:hAnsi="Verdana"/>
            <w:i/>
          </w:rPr>
          <w:t xml:space="preserve"> Waiver Review Process</w:t>
        </w:r>
      </w:hyperlink>
      <w:r>
        <w:rPr>
          <w:rFonts w:ascii="Verdana" w:hAnsi="Verdana"/>
        </w:rPr>
        <w:t xml:space="preserve"> for guidance.</w:t>
      </w:r>
    </w:p>
    <w:p w14:paraId="34677F90" w14:textId="77777777" w:rsidR="00894174" w:rsidRPr="00894174" w:rsidRDefault="00894174" w:rsidP="00894174">
      <w:pPr>
        <w:pStyle w:val="ListParagraph"/>
        <w:ind w:left="360"/>
        <w:jc w:val="both"/>
        <w:rPr>
          <w:rFonts w:ascii="Verdana" w:hAnsi="Verdana"/>
        </w:rPr>
      </w:pPr>
    </w:p>
    <w:p w14:paraId="019577C1" w14:textId="5493E981" w:rsidR="00FB72D3" w:rsidRPr="00180512" w:rsidRDefault="00FB72D3" w:rsidP="00B922E5">
      <w:pPr>
        <w:ind w:left="360"/>
        <w:rPr>
          <w:rFonts w:ascii="Verdana" w:hAnsi="Verdana" w:cs="Calibri"/>
        </w:rPr>
      </w:pPr>
      <w:r w:rsidRPr="00180512">
        <w:rPr>
          <w:rFonts w:ascii="Verdana" w:hAnsi="Verdana" w:cs="Calibri"/>
        </w:rPr>
        <w:t>This chart contains a history of this publication’s revisions</w:t>
      </w:r>
      <w:r w:rsidR="00DF58E4">
        <w:rPr>
          <w:rFonts w:ascii="Verdana" w:hAnsi="Verdana" w:cs="Calibri"/>
        </w:rPr>
        <w:t>. Redline documents detail the revisions and are available to CWOPA users only.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T Policy Revision Table"/>
        <w:tblDescription w:val="Details policy type (original or revision), the publication date, high level revisions made, a link to download the redline version of the policy. The redline version details all edits made to the revised policy."/>
      </w:tblPr>
      <w:tblGrid>
        <w:gridCol w:w="1007"/>
        <w:gridCol w:w="1391"/>
        <w:gridCol w:w="5949"/>
        <w:gridCol w:w="1975"/>
      </w:tblGrid>
      <w:tr w:rsidR="00722E5B" w:rsidRPr="00180512" w14:paraId="33F11AAA" w14:textId="1F21F949" w:rsidTr="00722E5B">
        <w:tc>
          <w:tcPr>
            <w:tcW w:w="1007" w:type="dxa"/>
            <w:shd w:val="clear" w:color="auto" w:fill="002060"/>
          </w:tcPr>
          <w:p w14:paraId="5E1FE2AE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Version</w:t>
            </w:r>
          </w:p>
        </w:tc>
        <w:tc>
          <w:tcPr>
            <w:tcW w:w="1391" w:type="dxa"/>
            <w:shd w:val="clear" w:color="auto" w:fill="002060"/>
          </w:tcPr>
          <w:p w14:paraId="08481691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Date</w:t>
            </w:r>
          </w:p>
        </w:tc>
        <w:tc>
          <w:tcPr>
            <w:tcW w:w="5949" w:type="dxa"/>
            <w:shd w:val="clear" w:color="auto" w:fill="002060"/>
          </w:tcPr>
          <w:p w14:paraId="50966016" w14:textId="77777777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 w:rsidRPr="00180512">
              <w:rPr>
                <w:rFonts w:cs="Calibri"/>
                <w:b/>
                <w:color w:val="FFFFFF"/>
              </w:rPr>
              <w:t>Purpose of Revision</w:t>
            </w:r>
          </w:p>
        </w:tc>
        <w:tc>
          <w:tcPr>
            <w:tcW w:w="1975" w:type="dxa"/>
            <w:shd w:val="clear" w:color="auto" w:fill="002060"/>
          </w:tcPr>
          <w:p w14:paraId="75653324" w14:textId="6FC8BF9F" w:rsidR="00722E5B" w:rsidRPr="00180512" w:rsidRDefault="00722E5B" w:rsidP="00180512">
            <w:pPr>
              <w:spacing w:after="0" w:line="240" w:lineRule="auto"/>
              <w:rPr>
                <w:rFonts w:cs="Calibri"/>
                <w:b/>
                <w:color w:val="FFFFFF"/>
              </w:rPr>
            </w:pPr>
            <w:r>
              <w:rPr>
                <w:rFonts w:cs="Calibri"/>
                <w:b/>
                <w:color w:val="FFFFFF"/>
              </w:rPr>
              <w:t>Redline Link</w:t>
            </w:r>
          </w:p>
        </w:tc>
      </w:tr>
      <w:tr w:rsidR="00722E5B" w:rsidRPr="00180512" w14:paraId="513CA52C" w14:textId="29E72738" w:rsidTr="00722E5B">
        <w:tc>
          <w:tcPr>
            <w:tcW w:w="1007" w:type="dxa"/>
            <w:shd w:val="clear" w:color="auto" w:fill="auto"/>
          </w:tcPr>
          <w:p w14:paraId="4398AA19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Original</w:t>
            </w:r>
          </w:p>
        </w:tc>
        <w:tc>
          <w:tcPr>
            <w:tcW w:w="1391" w:type="dxa"/>
            <w:shd w:val="clear" w:color="auto" w:fill="auto"/>
          </w:tcPr>
          <w:p w14:paraId="52C25FB7" w14:textId="77777777" w:rsidR="00722E5B" w:rsidRPr="00180512" w:rsidRDefault="00722E5B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05DED922" w14:textId="77777777" w:rsidR="00722E5B" w:rsidRPr="00180512" w:rsidRDefault="00722E5B" w:rsidP="00180512">
            <w:pPr>
              <w:spacing w:after="0" w:line="240" w:lineRule="auto"/>
              <w:rPr>
                <w:rFonts w:cs="Calibri"/>
              </w:rPr>
            </w:pPr>
            <w:r w:rsidRPr="00180512">
              <w:rPr>
                <w:rFonts w:cs="Calibri"/>
              </w:rPr>
              <w:t>Base Document</w:t>
            </w:r>
          </w:p>
        </w:tc>
        <w:tc>
          <w:tcPr>
            <w:tcW w:w="1975" w:type="dxa"/>
          </w:tcPr>
          <w:p w14:paraId="23D8558E" w14:textId="44BFFCB4" w:rsidR="00722E5B" w:rsidRPr="00180512" w:rsidRDefault="00E043E8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N/A</w:t>
            </w:r>
          </w:p>
        </w:tc>
      </w:tr>
      <w:tr w:rsidR="0069346F" w:rsidRPr="00180512" w14:paraId="5EF66B5B" w14:textId="77777777" w:rsidTr="00722E5B">
        <w:tc>
          <w:tcPr>
            <w:tcW w:w="1007" w:type="dxa"/>
            <w:shd w:val="clear" w:color="auto" w:fill="auto"/>
          </w:tcPr>
          <w:p w14:paraId="595C9CF1" w14:textId="66D3B9E3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Revision</w:t>
            </w:r>
          </w:p>
        </w:tc>
        <w:tc>
          <w:tcPr>
            <w:tcW w:w="1391" w:type="dxa"/>
            <w:shd w:val="clear" w:color="auto" w:fill="auto"/>
          </w:tcPr>
          <w:p w14:paraId="50FDA8DC" w14:textId="5C384FBE" w:rsidR="0069346F" w:rsidRDefault="0069346F" w:rsidP="00382F6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mm/dd</w:t>
            </w:r>
            <w:r w:rsidRPr="00180512">
              <w:rPr>
                <w:rFonts w:cs="Calibri"/>
              </w:rPr>
              <w:t>/20</w:t>
            </w:r>
            <w:r>
              <w:rPr>
                <w:rFonts w:cs="Calibri"/>
              </w:rPr>
              <w:t>yy</w:t>
            </w:r>
          </w:p>
        </w:tc>
        <w:tc>
          <w:tcPr>
            <w:tcW w:w="5949" w:type="dxa"/>
            <w:shd w:val="clear" w:color="auto" w:fill="auto"/>
          </w:tcPr>
          <w:p w14:paraId="2E43DB90" w14:textId="77777777" w:rsidR="0069346F" w:rsidRPr="00180512" w:rsidRDefault="0069346F" w:rsidP="00180512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75" w:type="dxa"/>
          </w:tcPr>
          <w:p w14:paraId="7C4ADC68" w14:textId="55F1198B" w:rsidR="0069346F" w:rsidRPr="002B0F10" w:rsidRDefault="002B0F10" w:rsidP="0018051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Revised IT Policy Redline &lt;mm/dd/20yy&gt; </w:t>
            </w:r>
            <w:r>
              <w:rPr>
                <w:rFonts w:cs="Calibri"/>
                <w:i/>
              </w:rPr>
              <w:t>Link to Redline, IT Central Document Repository-hosted</w:t>
            </w:r>
          </w:p>
        </w:tc>
      </w:tr>
    </w:tbl>
    <w:p w14:paraId="1E996F30" w14:textId="77777777" w:rsidR="00122931" w:rsidRPr="00180512" w:rsidRDefault="00122931" w:rsidP="00FB72D3">
      <w:pPr>
        <w:rPr>
          <w:rFonts w:cs="Calibri"/>
        </w:rPr>
      </w:pPr>
    </w:p>
    <w:sectPr w:rsidR="00122931" w:rsidRPr="00180512" w:rsidSect="00194986">
      <w:headerReference w:type="default" r:id="rId21"/>
      <w:footerReference w:type="default" r:id="rId22"/>
      <w:footerReference w:type="first" r:id="rId23"/>
      <w:pgSz w:w="12240" w:h="15840"/>
      <w:pgMar w:top="814" w:right="720" w:bottom="720" w:left="720" w:header="270" w:footer="26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F21EE" w14:textId="77777777" w:rsidR="00871606" w:rsidRPr="00E82E14" w:rsidRDefault="00871606" w:rsidP="00854672">
      <w:pPr>
        <w:spacing w:after="0" w:line="240" w:lineRule="auto"/>
      </w:pPr>
      <w:r>
        <w:separator/>
      </w:r>
    </w:p>
  </w:endnote>
  <w:endnote w:type="continuationSeparator" w:id="0">
    <w:p w14:paraId="4025B3FD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038728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C6CF1B0" w14:textId="1D9DC0B2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54E088C3" w14:textId="77777777" w:rsidR="00F81DAE" w:rsidRDefault="00F81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477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328078D2" w14:textId="1546ABBE" w:rsidR="00760FEA" w:rsidRDefault="00760FE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10143">
          <w:rPr>
            <w:spacing w:val="60"/>
          </w:rPr>
          <w:t>Page</w:t>
        </w:r>
      </w:p>
    </w:sdtContent>
  </w:sdt>
  <w:p w14:paraId="1A49B165" w14:textId="77777777" w:rsidR="00760FEA" w:rsidRDefault="00760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0486" w14:textId="77777777" w:rsidR="00871606" w:rsidRPr="00E82E14" w:rsidRDefault="00871606" w:rsidP="00854672">
      <w:pPr>
        <w:spacing w:after="0" w:line="240" w:lineRule="auto"/>
      </w:pPr>
      <w:r>
        <w:separator/>
      </w:r>
    </w:p>
  </w:footnote>
  <w:footnote w:type="continuationSeparator" w:id="0">
    <w:p w14:paraId="5134CBE8" w14:textId="77777777" w:rsidR="00871606" w:rsidRPr="00E82E14" w:rsidRDefault="00871606" w:rsidP="0085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7196" w14:textId="77777777" w:rsidR="00F81DAE" w:rsidRPr="00194986" w:rsidRDefault="00617FAA" w:rsidP="00194986">
    <w:pPr>
      <w:jc w:val="center"/>
      <w:rPr>
        <w:rFonts w:ascii="Verdana" w:eastAsia="Times New Roman" w:hAnsi="Verdana"/>
        <w:i/>
        <w:sz w:val="16"/>
        <w:szCs w:val="16"/>
      </w:rPr>
    </w:pPr>
    <w:r>
      <w:rPr>
        <w:rFonts w:ascii="Verdana" w:hAnsi="Verdana"/>
        <w:sz w:val="16"/>
        <w:szCs w:val="16"/>
      </w:rPr>
      <w:t>ITP</w:t>
    </w:r>
    <w:r w:rsidR="009B406D">
      <w:rPr>
        <w:rFonts w:ascii="Verdana" w:hAnsi="Verdana"/>
        <w:sz w:val="16"/>
        <w:szCs w:val="16"/>
      </w:rPr>
      <w:t>-XXXNNN</w:t>
    </w:r>
    <w:r w:rsidR="00F81DAE" w:rsidRPr="00EE1143">
      <w:rPr>
        <w:rFonts w:ascii="Verdana" w:hAnsi="Verdana"/>
        <w:sz w:val="16"/>
        <w:szCs w:val="16"/>
      </w:rPr>
      <w:t xml:space="preserve"> </w:t>
    </w:r>
    <w:r w:rsidR="009B406D">
      <w:rPr>
        <w:rFonts w:ascii="Verdana" w:eastAsia="Times New Roman" w:hAnsi="Verdana"/>
        <w:i/>
        <w:sz w:val="16"/>
        <w:szCs w:val="16"/>
      </w:rPr>
      <w:t>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64.05pt;height:364.05pt" o:bullet="t">
        <v:imagedata r:id="rId1" o:title="art1563"/>
      </v:shape>
    </w:pict>
  </w:numPicBullet>
  <w:abstractNum w:abstractNumId="0" w15:restartNumberingAfterBreak="0">
    <w:nsid w:val="23FE7540"/>
    <w:multiLevelType w:val="hybridMultilevel"/>
    <w:tmpl w:val="BB92532C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" w15:restartNumberingAfterBreak="0">
    <w:nsid w:val="2EED6975"/>
    <w:multiLevelType w:val="hybridMultilevel"/>
    <w:tmpl w:val="DE2E38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92656D"/>
    <w:multiLevelType w:val="hybridMultilevel"/>
    <w:tmpl w:val="9D344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6EEE"/>
    <w:multiLevelType w:val="multilevel"/>
    <w:tmpl w:val="A7E0E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E725EE2"/>
    <w:multiLevelType w:val="hybridMultilevel"/>
    <w:tmpl w:val="B0542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3C5607"/>
    <w:multiLevelType w:val="hybridMultilevel"/>
    <w:tmpl w:val="1D1C06FE"/>
    <w:lvl w:ilvl="0" w:tplc="B49C49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AA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D45E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81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EED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65B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682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C2C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EAF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55D1C8C"/>
    <w:multiLevelType w:val="hybridMultilevel"/>
    <w:tmpl w:val="DB500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31704A"/>
    <w:multiLevelType w:val="hybridMultilevel"/>
    <w:tmpl w:val="1614615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5C9D4AF9"/>
    <w:multiLevelType w:val="multilevel"/>
    <w:tmpl w:val="4C141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68514B1E"/>
    <w:multiLevelType w:val="multilevel"/>
    <w:tmpl w:val="1660C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96D3003"/>
    <w:multiLevelType w:val="hybridMultilevel"/>
    <w:tmpl w:val="52CCE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31"/>
    <w:rsid w:val="000232F3"/>
    <w:rsid w:val="00033A07"/>
    <w:rsid w:val="00033C6E"/>
    <w:rsid w:val="00041A6A"/>
    <w:rsid w:val="00073CCF"/>
    <w:rsid w:val="00080CDD"/>
    <w:rsid w:val="000A0B18"/>
    <w:rsid w:val="000C180A"/>
    <w:rsid w:val="000D3D03"/>
    <w:rsid w:val="000E2B2F"/>
    <w:rsid w:val="00100901"/>
    <w:rsid w:val="00110834"/>
    <w:rsid w:val="00122931"/>
    <w:rsid w:val="00123965"/>
    <w:rsid w:val="00151394"/>
    <w:rsid w:val="001539E7"/>
    <w:rsid w:val="001706B3"/>
    <w:rsid w:val="001757AA"/>
    <w:rsid w:val="00180512"/>
    <w:rsid w:val="00194986"/>
    <w:rsid w:val="001A5798"/>
    <w:rsid w:val="001E190A"/>
    <w:rsid w:val="0020315C"/>
    <w:rsid w:val="00221BC3"/>
    <w:rsid w:val="002476B7"/>
    <w:rsid w:val="00273061"/>
    <w:rsid w:val="0027310C"/>
    <w:rsid w:val="002871DD"/>
    <w:rsid w:val="002A1893"/>
    <w:rsid w:val="002B0F10"/>
    <w:rsid w:val="002C35A3"/>
    <w:rsid w:val="002D148C"/>
    <w:rsid w:val="002D1833"/>
    <w:rsid w:val="002D1D72"/>
    <w:rsid w:val="002E4AA7"/>
    <w:rsid w:val="00310FDE"/>
    <w:rsid w:val="00346127"/>
    <w:rsid w:val="003504DF"/>
    <w:rsid w:val="003538A7"/>
    <w:rsid w:val="0035662F"/>
    <w:rsid w:val="00372EF0"/>
    <w:rsid w:val="00382F6A"/>
    <w:rsid w:val="00403EC1"/>
    <w:rsid w:val="00410143"/>
    <w:rsid w:val="00416B7C"/>
    <w:rsid w:val="00446F88"/>
    <w:rsid w:val="0048184B"/>
    <w:rsid w:val="004912ED"/>
    <w:rsid w:val="004B67A6"/>
    <w:rsid w:val="004C162F"/>
    <w:rsid w:val="004F3397"/>
    <w:rsid w:val="00510DE9"/>
    <w:rsid w:val="00524D30"/>
    <w:rsid w:val="00560156"/>
    <w:rsid w:val="005705EC"/>
    <w:rsid w:val="00574748"/>
    <w:rsid w:val="005760F0"/>
    <w:rsid w:val="00580E8E"/>
    <w:rsid w:val="00582742"/>
    <w:rsid w:val="005B3EBA"/>
    <w:rsid w:val="005C3FFF"/>
    <w:rsid w:val="005E1431"/>
    <w:rsid w:val="00613B6A"/>
    <w:rsid w:val="00617FAA"/>
    <w:rsid w:val="0063378E"/>
    <w:rsid w:val="006516FE"/>
    <w:rsid w:val="00660848"/>
    <w:rsid w:val="006656B9"/>
    <w:rsid w:val="0069346F"/>
    <w:rsid w:val="00695570"/>
    <w:rsid w:val="006D138F"/>
    <w:rsid w:val="006F20B3"/>
    <w:rsid w:val="006F75D1"/>
    <w:rsid w:val="00710A13"/>
    <w:rsid w:val="00713A15"/>
    <w:rsid w:val="00722E5B"/>
    <w:rsid w:val="00751692"/>
    <w:rsid w:val="00760FEA"/>
    <w:rsid w:val="00791AAE"/>
    <w:rsid w:val="00796881"/>
    <w:rsid w:val="007A1E4D"/>
    <w:rsid w:val="007A3BD7"/>
    <w:rsid w:val="007A720E"/>
    <w:rsid w:val="007B5A85"/>
    <w:rsid w:val="007C0037"/>
    <w:rsid w:val="007F63F0"/>
    <w:rsid w:val="00826181"/>
    <w:rsid w:val="00854672"/>
    <w:rsid w:val="00871606"/>
    <w:rsid w:val="00871628"/>
    <w:rsid w:val="00872CFF"/>
    <w:rsid w:val="00894174"/>
    <w:rsid w:val="00897134"/>
    <w:rsid w:val="008A1F6B"/>
    <w:rsid w:val="008E5980"/>
    <w:rsid w:val="00901E55"/>
    <w:rsid w:val="00920B00"/>
    <w:rsid w:val="00927752"/>
    <w:rsid w:val="00934F96"/>
    <w:rsid w:val="009857F6"/>
    <w:rsid w:val="009A1042"/>
    <w:rsid w:val="009B406D"/>
    <w:rsid w:val="009B7A4C"/>
    <w:rsid w:val="009C3F63"/>
    <w:rsid w:val="009D4CF5"/>
    <w:rsid w:val="00A24B98"/>
    <w:rsid w:val="00A5583A"/>
    <w:rsid w:val="00A7660E"/>
    <w:rsid w:val="00A92411"/>
    <w:rsid w:val="00AC62C9"/>
    <w:rsid w:val="00B02B8D"/>
    <w:rsid w:val="00B24BE6"/>
    <w:rsid w:val="00B81865"/>
    <w:rsid w:val="00B8759C"/>
    <w:rsid w:val="00B91253"/>
    <w:rsid w:val="00B922E5"/>
    <w:rsid w:val="00B95F40"/>
    <w:rsid w:val="00BA405E"/>
    <w:rsid w:val="00BD220D"/>
    <w:rsid w:val="00BF34BA"/>
    <w:rsid w:val="00C12E3F"/>
    <w:rsid w:val="00C44C58"/>
    <w:rsid w:val="00C4747E"/>
    <w:rsid w:val="00C53677"/>
    <w:rsid w:val="00C716DA"/>
    <w:rsid w:val="00C73FA4"/>
    <w:rsid w:val="00CE4B5D"/>
    <w:rsid w:val="00CF0E36"/>
    <w:rsid w:val="00D42DB2"/>
    <w:rsid w:val="00D67822"/>
    <w:rsid w:val="00D82D44"/>
    <w:rsid w:val="00D91ECF"/>
    <w:rsid w:val="00DA25D0"/>
    <w:rsid w:val="00DE4DAD"/>
    <w:rsid w:val="00DF443B"/>
    <w:rsid w:val="00DF58E4"/>
    <w:rsid w:val="00E043E8"/>
    <w:rsid w:val="00EA7B9D"/>
    <w:rsid w:val="00EB5317"/>
    <w:rsid w:val="00ED4E9A"/>
    <w:rsid w:val="00EE1143"/>
    <w:rsid w:val="00EF1168"/>
    <w:rsid w:val="00F05877"/>
    <w:rsid w:val="00F26125"/>
    <w:rsid w:val="00F6183D"/>
    <w:rsid w:val="00F81DAE"/>
    <w:rsid w:val="00F9338C"/>
    <w:rsid w:val="00FA4227"/>
    <w:rsid w:val="00FB72D3"/>
    <w:rsid w:val="00FC09FE"/>
    <w:rsid w:val="00FD0577"/>
    <w:rsid w:val="00FD3B72"/>
    <w:rsid w:val="00FE241B"/>
    <w:rsid w:val="00FE6993"/>
    <w:rsid w:val="00FF444B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D514C"/>
  <w15:docId w15:val="{D3CD3980-16AD-4EB3-BB0E-1E9A295D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9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931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2293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122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22931"/>
    <w:pPr>
      <w:jc w:val="center"/>
    </w:pPr>
    <w:rPr>
      <w:rFonts w:ascii="Verdana" w:eastAsia="Times New Roman" w:hAnsi="Verdana"/>
      <w:b/>
      <w:color w:val="002569"/>
      <w:sz w:val="36"/>
      <w:szCs w:val="36"/>
    </w:rPr>
  </w:style>
  <w:style w:type="character" w:customStyle="1" w:styleId="IssueBriefHeading1Char">
    <w:name w:val="Issue Brief Heading 1 Char"/>
    <w:link w:val="IssueBriefHeading1"/>
    <w:rsid w:val="00122931"/>
    <w:rPr>
      <w:rFonts w:ascii="Verdana" w:eastAsia="Times New Roman" w:hAnsi="Verdana" w:cs="Times New Roman"/>
      <w:b/>
      <w:color w:val="002569"/>
      <w:sz w:val="36"/>
      <w:szCs w:val="36"/>
    </w:rPr>
  </w:style>
  <w:style w:type="paragraph" w:styleId="ListParagraph">
    <w:name w:val="List Paragraph"/>
    <w:basedOn w:val="Normal"/>
    <w:qFormat/>
    <w:rsid w:val="00122931"/>
    <w:pPr>
      <w:spacing w:after="0" w:line="240" w:lineRule="auto"/>
      <w:ind w:left="720"/>
    </w:pPr>
  </w:style>
  <w:style w:type="character" w:styleId="Hyperlink">
    <w:name w:val="Hyperlink"/>
    <w:uiPriority w:val="99"/>
    <w:unhideWhenUsed/>
    <w:rsid w:val="00122931"/>
    <w:rPr>
      <w:color w:val="0000FF"/>
      <w:u w:val="single"/>
    </w:rPr>
  </w:style>
  <w:style w:type="paragraph" w:styleId="NormalWeb">
    <w:name w:val="Normal (Web)"/>
    <w:basedOn w:val="Normal"/>
    <w:unhideWhenUsed/>
    <w:rsid w:val="007C0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72"/>
  </w:style>
  <w:style w:type="paragraph" w:styleId="Footer">
    <w:name w:val="footer"/>
    <w:basedOn w:val="Normal"/>
    <w:link w:val="FooterChar"/>
    <w:uiPriority w:val="99"/>
    <w:unhideWhenUsed/>
    <w:rsid w:val="00854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72"/>
  </w:style>
  <w:style w:type="character" w:styleId="Mention">
    <w:name w:val="Mention"/>
    <w:basedOn w:val="DefaultParagraphFont"/>
    <w:uiPriority w:val="99"/>
    <w:semiHidden/>
    <w:unhideWhenUsed/>
    <w:rsid w:val="00FD057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7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718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oa.pa.gov/Policies/Pages/default.aspx" TargetMode="External"/><Relationship Id="rId26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hyperlink" Target="mailto:RA-ITCentral@pa.gov" TargetMode="External"/><Relationship Id="rId17" Type="http://schemas.openxmlformats.org/officeDocument/2006/relationships/hyperlink" Target="https://itcentral.pa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a.pa.gov/Policies/Pages/Glossary.aspx" TargetMode="External"/><Relationship Id="rId20" Type="http://schemas.openxmlformats.org/officeDocument/2006/relationships/hyperlink" Target="https://www.oa.pa.gov/Policies/Documents/itp_bus004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a.pa.gov/Policies/Pages/default.aspx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RA-ITCentral@pa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a.pa.gov/Policies/Pages/Glossary.aspx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MYP73XKAY25F-18-418</_dlc_DocId>
    <_dlc_DocIdUrl xmlns="1c28369d-17b0-4b3d-9224-72ce87f55f27">
      <Url>https://www.oa.pa.gov/Policies/_layouts/15/DocIdRedir.aspx?ID=MYP73XKAY25F-18-418</Url>
      <Description>MYP73XKAY25F-18-418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B2C3D-264B-4A50-BD4D-340D02730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0FB19-4372-42C1-A620-6E29C31B88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7D9DBD-A346-41F6-AA5C-697C7B2F071F}"/>
</file>

<file path=customXml/itemProps4.xml><?xml version="1.0" encoding="utf-8"?>
<ds:datastoreItem xmlns:ds="http://schemas.openxmlformats.org/officeDocument/2006/customXml" ds:itemID="{C0300998-7BDF-4F15-B246-31EE4249DA2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0862D3-A7F2-4587-99CB-B85767000B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6.xml><?xml version="1.0" encoding="utf-8"?>
<ds:datastoreItem xmlns:ds="http://schemas.openxmlformats.org/officeDocument/2006/customXml" ds:itemID="{E106C17A-91CE-4B8F-B594-080408660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ITP-XXXNNN - ITP Template</vt:lpstr>
    </vt:vector>
  </TitlesOfParts>
  <Company>Commonwealth of PA</Company>
  <LinksUpToDate>false</LinksUpToDate>
  <CharactersWithSpaces>2784</CharactersWithSpaces>
  <SharedDoc>false</SharedDoc>
  <HLinks>
    <vt:vector size="24" baseType="variant">
      <vt:variant>
        <vt:i4>786498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http://www.portal.state.pa.us/portal/server.pt/gateway/PTARGS_32_0_232_0_-1_47/http;/collaboration.state.pa.us;11930/collab/do/document/overview?projID=26053</vt:lpwstr>
      </vt:variant>
      <vt:variant>
        <vt:lpwstr/>
      </vt:variant>
      <vt:variant>
        <vt:i4>1572990</vt:i4>
      </vt:variant>
      <vt:variant>
        <vt:i4>9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http://www.portal.state.pa.us/portal/server.pt?open=512&amp;objID=708&amp;PageID=224602&amp;mode=2&amp;contentid=http://pubcontent.state.pa.us/publishedcontent/publish/cop_general_government_operations/oa/oa_portal/omd/p_and_p/executive_orders/2010_2019/items/2011_05.html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mailto:ra-oaitb@pa.gov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OPD-BUS000E</dc:title>
  <dc:subject/>
  <dc:creator>michaander@pa.gov</dc:creator>
  <cp:keywords/>
  <cp:lastModifiedBy>Fullerton, Jennifer</cp:lastModifiedBy>
  <cp:revision>6</cp:revision>
  <cp:lastPrinted>2012-01-10T19:24:00Z</cp:lastPrinted>
  <dcterms:created xsi:type="dcterms:W3CDTF">2021-06-03T13:41:00Z</dcterms:created>
  <dcterms:modified xsi:type="dcterms:W3CDTF">2021-07-23T18:12:00Z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7622f0de-ff1d-4e4f-859c-2cb67fd30761</vt:lpwstr>
  </property>
  <property fmtid="{D5CDD505-2E9C-101B-9397-08002B2CF9AE}" pid="9" name="Order">
    <vt:r8>41800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